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80" w:type="dxa"/>
        <w:tblInd w:w="-863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1245"/>
        <w:gridCol w:w="5970"/>
        <w:gridCol w:w="870"/>
        <w:gridCol w:w="15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0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附表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36"/>
                <w:szCs w:val="36"/>
                <w:u w:val="none"/>
                <w:shd w:val="clear" w:color="auto" w:fill="auto"/>
                <w:lang w:val="en-US" w:eastAsia="zh-CN" w:bidi="ar"/>
              </w:rPr>
              <w:t>市公共资源交易中心对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36"/>
              </w:rPr>
              <w:t>招标代理机构进场行为规范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36"/>
                <w:szCs w:val="36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6"/>
                <w:szCs w:val="36"/>
              </w:rPr>
              <w:t>评价</w:t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36"/>
                <w:szCs w:val="36"/>
                <w:u w:val="none"/>
                <w:shd w:val="clear" w:color="auto" w:fill="auto"/>
                <w:lang w:val="en-US" w:eastAsia="zh-CN" w:bidi="ar"/>
              </w:rPr>
              <w:t>内容及计分标准表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36"/>
                <w:szCs w:val="36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36"/>
                <w:szCs w:val="36"/>
                <w:u w:val="none"/>
                <w:shd w:val="clear" w:color="auto" w:fill="auto"/>
                <w:lang w:val="en-US" w:eastAsia="zh-CN" w:bidi="ar"/>
              </w:rPr>
              <w:t xml:space="preserve">        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36"/>
                <w:szCs w:val="36"/>
                <w:u w:val="none"/>
                <w:shd w:val="clear" w:color="auto" w:fill="auto"/>
                <w:lang w:val="en-US" w:eastAsia="zh-CN" w:bidi="ar"/>
              </w:rPr>
              <w:t xml:space="preserve">          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spacing w:val="0"/>
                <w:w w:val="100"/>
                <w:kern w:val="0"/>
                <w:position w:val="0"/>
                <w:sz w:val="32"/>
                <w:szCs w:val="32"/>
                <w:u w:val="none"/>
                <w:shd w:val="clear" w:color="auto" w:fill="auto"/>
                <w:lang w:val="en-US" w:eastAsia="zh-CN" w:bidi="ar"/>
              </w:rPr>
              <w:t>年  月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080" w:type="dxa"/>
            <w:gridSpan w:val="5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36"/>
                <w:szCs w:val="36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0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代理机构名称：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0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代理机构负责人：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项目名称（编号）：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8"/>
                <w:szCs w:val="28"/>
                <w:u w:val="none"/>
                <w:shd w:val="clear" w:color="auto" w:fill="auto"/>
                <w:lang w:val="en-US" w:eastAsia="zh-CN" w:bidi="ar"/>
              </w:rPr>
              <w:t>计分科室：                    计分人：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序号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类别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评价内容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扣分标准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201" w:firstLineChars="100"/>
              <w:jc w:val="both"/>
              <w:textAlignment w:val="bottom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扣分点  计分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</w:t>
            </w:r>
          </w:p>
        </w:tc>
        <w:tc>
          <w:tcPr>
            <w:tcW w:w="961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不良行为釆用扣分制，分为：严重不良行为、一般不良行为、轻微不良行为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both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1.1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 xml:space="preserve">严重不良行为 </w:t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(共6条)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1.开、评标组织人员出现迟到、早退或擅自离岗情形的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每发生一 次，扣10分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4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2.未认真维持开、评标现场秩序，致使开、评标组织混乱导致项目不能正常进行的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4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3.因代理机构工作失误，要求交易系统做更正操作的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4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4.随意变动开、评标场地及开标时间的，或者取消组织开、评标未提前告知中心的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5.上传的信息含敏感字或非法内容的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6.携带通讯工具进入评标区的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1.2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一般不良行为（共7条）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7.上传的公告公示、交易文件、补充信息等资料不完整、不规范、不准确、不及时、不一致的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每发生一 次，扣3分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8.评标结束后未及时将项目资料（含投标文件）交由相应科室保管的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9.未在评标区专家等候室拆启《评标（审）专家抽取表》的或拆启《评标（审）专家抽取表》时未在专家等候室核对专家身份及证件的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10.使用被交易中心暂停进场交易工作人员的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11.项目资料无故未按规定及时、完整归档的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12.未按规定使用系统生成保证金子账号进行保证金交纳的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13.代理机构不服从市公共资源交易中心管理的或违反相关规定的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14.违反《松原市公共资源交易中心开标评标区管理制度》、《松原市公共资源交易中心招标代理机构进场交易行为规范》等相关内容的</w:t>
            </w: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1.3</w:t>
            </w:r>
          </w:p>
        </w:tc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轻微不良行为</w:t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（共10条）</w:t>
            </w: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15.代理机构进场登记人员对项目情况掌握不全面、不准确或准备工作不充分的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每发生一 次，扣2分</w:t>
            </w:r>
          </w:p>
        </w:tc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16.进入开、评标区域未进行登记、领取挂牌或拒绝登记的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17.未按规定程序组织投标人（供应商）对投标文件有关事项进行现场澄清的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18.代理机构工作人员服务态度生硬，语言不文明的或与评标（审）专家、中心工作人员发生争吵的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19.未及时、准确发起保证金退付指令的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4"/>
                <w:rFonts w:hint="eastAsia"/>
                <w:color w:val="auto"/>
                <w:shd w:val="clear" w:color="auto" w:fill="auto"/>
                <w:lang w:val="en-US" w:eastAsia="zh-CN" w:bidi="ar"/>
              </w:rPr>
              <w:t>20</w:t>
            </w:r>
            <w:r>
              <w:rPr>
                <w:rStyle w:val="4"/>
                <w:color w:val="auto"/>
                <w:shd w:val="clear" w:color="auto" w:fill="auto"/>
                <w:lang w:val="en-US" w:eastAsia="zh-CN" w:bidi="ar"/>
              </w:rPr>
              <w:t>.交易结束后未通知中心工作人员及交回工作牌的</w:t>
            </w:r>
            <w:r>
              <w:rPr>
                <w:rStyle w:val="5"/>
                <w:color w:val="auto"/>
                <w:shd w:val="clear" w:color="auto" w:fill="auto"/>
                <w:lang w:val="en-US" w:eastAsia="zh-CN" w:bidi="ar"/>
              </w:rPr>
              <w:t xml:space="preserve"> 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21.完成评标前准备工作或者完成专家询问，不退出评标室的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22.代理机构未按要求参加市公管办和市交易中心组织的培训、会议或活动的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23.未按规定发放中标通知书的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spacing w:val="0"/>
                <w:w w:val="100"/>
                <w:kern w:val="0"/>
                <w:position w:val="0"/>
                <w:sz w:val="20"/>
                <w:szCs w:val="20"/>
                <w:u w:val="none"/>
                <w:shd w:val="clear" w:color="auto" w:fill="auto"/>
                <w:lang w:val="en-US" w:eastAsia="zh-CN" w:bidi="ar"/>
              </w:rPr>
              <w:t>24.开、评标结束后未及时关闭电器、设备的</w:t>
            </w:r>
          </w:p>
        </w:tc>
        <w:tc>
          <w:tcPr>
            <w:tcW w:w="8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auto"/>
                <w:sz w:val="10"/>
                <w:szCs w:val="10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C2DCD"/>
    <w:rsid w:val="7DEC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5">
    <w:name w:val="font5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2021-12-28T10:22:00Z</dcterms:created>
  <dc:creator>Administrator</dc:creator>
  <cp:lastModifiedBy>Administrator</cp:lastModifiedBy>
  <dcterms:modified xsi:type="dcterms:W3CDTF">2021-12-28T10:22:54Z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3BF435154B4C4526B7BD0343E8AD5799</vt:lpwstr>
  </property>
</Properties>
</file>